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2C12" w14:textId="687CFE4F" w:rsidR="005034A1" w:rsidRDefault="00FB461B" w:rsidP="005034A1">
      <w:pPr>
        <w:ind w:left="0"/>
        <w:rPr>
          <w:rFonts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2C675B4" wp14:editId="1E350F58">
            <wp:extent cx="6353735" cy="1800225"/>
            <wp:effectExtent l="0" t="0" r="9525" b="0"/>
            <wp:docPr id="2" name="Picture 2" descr="DCEO_CD_Gov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EO_CD_GovColor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74" cy="180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FA6F2" w14:textId="7CEF126A" w:rsidR="005034A1" w:rsidRDefault="005034A1" w:rsidP="005034A1">
      <w:pPr>
        <w:jc w:val="center"/>
        <w:rPr>
          <w:rFonts w:cs="Arial"/>
          <w:b/>
          <w:sz w:val="40"/>
          <w:szCs w:val="40"/>
        </w:rPr>
      </w:pPr>
    </w:p>
    <w:p w14:paraId="7F08C56F" w14:textId="0499A294" w:rsidR="00FB461B" w:rsidRDefault="00FB461B" w:rsidP="005034A1">
      <w:pPr>
        <w:jc w:val="center"/>
        <w:rPr>
          <w:rFonts w:cs="Arial"/>
          <w:b/>
          <w:sz w:val="40"/>
          <w:szCs w:val="40"/>
        </w:rPr>
      </w:pPr>
    </w:p>
    <w:p w14:paraId="14FEA9A3" w14:textId="77777777" w:rsidR="00FB461B" w:rsidRDefault="00FB461B" w:rsidP="005034A1">
      <w:pPr>
        <w:jc w:val="center"/>
        <w:rPr>
          <w:rFonts w:cs="Arial"/>
          <w:b/>
          <w:sz w:val="40"/>
          <w:szCs w:val="40"/>
        </w:rPr>
      </w:pPr>
    </w:p>
    <w:p w14:paraId="696E016C" w14:textId="239593CE" w:rsidR="003968E1" w:rsidRPr="00277AB1" w:rsidRDefault="00FB461B" w:rsidP="003968E1">
      <w:pPr>
        <w:spacing w:after="0" w:line="240" w:lineRule="auto"/>
        <w:contextualSpacing/>
        <w:jc w:val="center"/>
        <w:rPr>
          <w:rFonts w:cs="David"/>
          <w:b/>
          <w:sz w:val="72"/>
          <w:szCs w:val="72"/>
        </w:rPr>
      </w:pPr>
      <w:r>
        <w:rPr>
          <w:rFonts w:cs="David"/>
          <w:b/>
          <w:sz w:val="72"/>
          <w:szCs w:val="72"/>
        </w:rPr>
        <w:t xml:space="preserve">Grant </w:t>
      </w:r>
      <w:r w:rsidR="005034A1" w:rsidRPr="00277AB1">
        <w:rPr>
          <w:rFonts w:cs="David"/>
          <w:b/>
          <w:sz w:val="72"/>
          <w:szCs w:val="72"/>
        </w:rPr>
        <w:t xml:space="preserve">Administrators </w:t>
      </w:r>
    </w:p>
    <w:p w14:paraId="3C398039" w14:textId="77777777" w:rsidR="005034A1" w:rsidRPr="00277AB1" w:rsidRDefault="005034A1" w:rsidP="005034A1">
      <w:pPr>
        <w:spacing w:after="0" w:line="240" w:lineRule="auto"/>
        <w:contextualSpacing/>
        <w:jc w:val="center"/>
        <w:rPr>
          <w:rFonts w:cs="David"/>
          <w:b/>
          <w:sz w:val="72"/>
          <w:szCs w:val="72"/>
        </w:rPr>
      </w:pPr>
      <w:r w:rsidRPr="00277AB1">
        <w:rPr>
          <w:rFonts w:cs="David"/>
          <w:b/>
          <w:sz w:val="72"/>
          <w:szCs w:val="72"/>
        </w:rPr>
        <w:t xml:space="preserve">and </w:t>
      </w:r>
    </w:p>
    <w:p w14:paraId="04F8EB72" w14:textId="40078192" w:rsidR="005034A1" w:rsidRPr="00277AB1" w:rsidRDefault="005034A1" w:rsidP="005034A1">
      <w:pPr>
        <w:spacing w:after="0" w:line="240" w:lineRule="auto"/>
        <w:contextualSpacing/>
        <w:jc w:val="center"/>
        <w:rPr>
          <w:rFonts w:cs="David"/>
          <w:b/>
          <w:sz w:val="72"/>
          <w:szCs w:val="72"/>
        </w:rPr>
      </w:pPr>
      <w:r w:rsidRPr="00277AB1">
        <w:rPr>
          <w:rFonts w:cs="David"/>
          <w:b/>
          <w:sz w:val="72"/>
          <w:szCs w:val="72"/>
        </w:rPr>
        <w:t>Application</w:t>
      </w:r>
      <w:r w:rsidR="003968E1" w:rsidRPr="00277AB1">
        <w:rPr>
          <w:rFonts w:cs="David"/>
          <w:b/>
          <w:sz w:val="72"/>
          <w:szCs w:val="72"/>
        </w:rPr>
        <w:t xml:space="preserve"> Workshop</w:t>
      </w:r>
      <w:r w:rsidR="00FB461B" w:rsidRPr="00277AB1">
        <w:rPr>
          <w:rFonts w:cs="David"/>
          <w:b/>
          <w:sz w:val="72"/>
          <w:szCs w:val="72"/>
        </w:rPr>
        <w:t>s</w:t>
      </w:r>
    </w:p>
    <w:p w14:paraId="5C6D14A2" w14:textId="77777777" w:rsidR="005034A1" w:rsidRPr="00A16125" w:rsidRDefault="005034A1" w:rsidP="005034A1">
      <w:pPr>
        <w:spacing w:after="0" w:line="240" w:lineRule="auto"/>
        <w:jc w:val="center"/>
        <w:rPr>
          <w:rFonts w:cs="David"/>
          <w:b/>
          <w:sz w:val="24"/>
          <w:szCs w:val="24"/>
        </w:rPr>
      </w:pPr>
    </w:p>
    <w:p w14:paraId="46493559" w14:textId="77777777" w:rsidR="00FB461B" w:rsidRDefault="00FB461B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</w:p>
    <w:p w14:paraId="0F376328" w14:textId="77777777" w:rsidR="00FB461B" w:rsidRDefault="00FB461B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</w:p>
    <w:p w14:paraId="5FBD68BC" w14:textId="11DA5941" w:rsidR="005034A1" w:rsidRPr="00A16125" w:rsidRDefault="00FB461B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  <w:r>
        <w:rPr>
          <w:rFonts w:cs="David"/>
          <w:b/>
          <w:sz w:val="40"/>
          <w:szCs w:val="40"/>
        </w:rPr>
        <w:t xml:space="preserve">October 1 &amp; </w:t>
      </w:r>
      <w:r w:rsidR="0013385F">
        <w:rPr>
          <w:rFonts w:cs="David"/>
          <w:b/>
          <w:sz w:val="40"/>
          <w:szCs w:val="40"/>
        </w:rPr>
        <w:t>2</w:t>
      </w:r>
      <w:r>
        <w:rPr>
          <w:rFonts w:cs="David"/>
          <w:b/>
          <w:sz w:val="40"/>
          <w:szCs w:val="40"/>
        </w:rPr>
        <w:t>, 202</w:t>
      </w:r>
      <w:r w:rsidR="0013385F">
        <w:rPr>
          <w:rFonts w:cs="David"/>
          <w:b/>
          <w:sz w:val="40"/>
          <w:szCs w:val="40"/>
        </w:rPr>
        <w:t>4</w:t>
      </w:r>
    </w:p>
    <w:p w14:paraId="0067E4FE" w14:textId="50514BC4" w:rsidR="005034A1" w:rsidRDefault="005034A1" w:rsidP="005034A1">
      <w:pPr>
        <w:spacing w:after="0"/>
        <w:jc w:val="center"/>
        <w:rPr>
          <w:rFonts w:cs="David"/>
          <w:b/>
          <w:sz w:val="24"/>
          <w:szCs w:val="24"/>
        </w:rPr>
      </w:pPr>
    </w:p>
    <w:p w14:paraId="59D478A4" w14:textId="4C90F82D" w:rsidR="00FB461B" w:rsidRDefault="00FB461B" w:rsidP="005034A1">
      <w:pPr>
        <w:spacing w:after="0"/>
        <w:jc w:val="center"/>
        <w:rPr>
          <w:rFonts w:cs="David"/>
          <w:b/>
          <w:sz w:val="24"/>
          <w:szCs w:val="24"/>
        </w:rPr>
      </w:pPr>
    </w:p>
    <w:p w14:paraId="708DB607" w14:textId="77777777" w:rsidR="00FB461B" w:rsidRPr="00A16125" w:rsidRDefault="00FB461B" w:rsidP="005034A1">
      <w:pPr>
        <w:spacing w:after="0"/>
        <w:jc w:val="center"/>
        <w:rPr>
          <w:rFonts w:cs="David"/>
          <w:b/>
          <w:sz w:val="24"/>
          <w:szCs w:val="24"/>
        </w:rPr>
      </w:pPr>
    </w:p>
    <w:p w14:paraId="2CC89EF2" w14:textId="1482861F" w:rsidR="005034A1" w:rsidRPr="00A16125" w:rsidRDefault="0013385F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  <w:r>
        <w:rPr>
          <w:rFonts w:cs="David"/>
          <w:b/>
          <w:sz w:val="40"/>
          <w:szCs w:val="40"/>
        </w:rPr>
        <w:t>Northfield Conference Center</w:t>
      </w:r>
    </w:p>
    <w:p w14:paraId="27866603" w14:textId="7D24FBCF" w:rsidR="005034A1" w:rsidRPr="00A16125" w:rsidRDefault="0013385F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  <w:r>
        <w:rPr>
          <w:rFonts w:cs="David"/>
          <w:b/>
          <w:sz w:val="40"/>
          <w:szCs w:val="40"/>
        </w:rPr>
        <w:t>3280 Northfield Drive</w:t>
      </w:r>
    </w:p>
    <w:p w14:paraId="6A043683" w14:textId="77777777" w:rsidR="005034A1" w:rsidRPr="00A16125" w:rsidRDefault="005034A1" w:rsidP="005034A1">
      <w:pPr>
        <w:spacing w:after="0" w:line="240" w:lineRule="auto"/>
        <w:contextualSpacing/>
        <w:jc w:val="center"/>
        <w:rPr>
          <w:rFonts w:cs="David"/>
          <w:b/>
          <w:sz w:val="40"/>
          <w:szCs w:val="40"/>
        </w:rPr>
      </w:pPr>
      <w:r w:rsidRPr="00A16125">
        <w:rPr>
          <w:rFonts w:cs="David"/>
          <w:b/>
          <w:sz w:val="40"/>
          <w:szCs w:val="40"/>
        </w:rPr>
        <w:t>Springfield, Illinois</w:t>
      </w:r>
    </w:p>
    <w:p w14:paraId="3EAC2CFC" w14:textId="77777777" w:rsidR="005034A1" w:rsidRPr="003A49C7" w:rsidRDefault="005034A1" w:rsidP="005034A1">
      <w:pPr>
        <w:spacing w:line="240" w:lineRule="auto"/>
        <w:contextualSpacing/>
        <w:rPr>
          <w:rFonts w:cs="David"/>
          <w:b/>
          <w:sz w:val="40"/>
          <w:szCs w:val="40"/>
        </w:rPr>
      </w:pPr>
    </w:p>
    <w:p w14:paraId="2696AFB5" w14:textId="77777777" w:rsidR="005034A1" w:rsidRPr="00A16125" w:rsidRDefault="005034A1" w:rsidP="005034A1">
      <w:pPr>
        <w:spacing w:line="240" w:lineRule="auto"/>
        <w:contextualSpacing/>
        <w:jc w:val="center"/>
        <w:rPr>
          <w:rFonts w:cs="David"/>
          <w:b/>
          <w:sz w:val="24"/>
          <w:szCs w:val="24"/>
        </w:rPr>
      </w:pPr>
    </w:p>
    <w:p w14:paraId="59153DD0" w14:textId="3C5751EF" w:rsidR="00FB461B" w:rsidRDefault="00FB461B" w:rsidP="00277AB1">
      <w:pPr>
        <w:ind w:left="0"/>
        <w:rPr>
          <w:rFonts w:cs="Arial"/>
          <w:b/>
          <w:sz w:val="40"/>
          <w:szCs w:val="40"/>
        </w:rPr>
      </w:pPr>
    </w:p>
    <w:p w14:paraId="764842CF" w14:textId="77777777" w:rsidR="0013385F" w:rsidRDefault="0013385F" w:rsidP="00277AB1">
      <w:pPr>
        <w:ind w:left="0"/>
        <w:rPr>
          <w:rFonts w:cs="Arial"/>
          <w:b/>
          <w:sz w:val="40"/>
          <w:szCs w:val="40"/>
        </w:rPr>
      </w:pPr>
    </w:p>
    <w:p w14:paraId="7FD1A68C" w14:textId="77777777" w:rsidR="005034A1" w:rsidRPr="00636269" w:rsidRDefault="005034A1" w:rsidP="00434F76">
      <w:pPr>
        <w:spacing w:before="0" w:after="200"/>
        <w:jc w:val="center"/>
        <w:rPr>
          <w:rFonts w:cs="Arial"/>
          <w:b/>
          <w:sz w:val="36"/>
          <w:szCs w:val="36"/>
        </w:rPr>
      </w:pPr>
      <w:r w:rsidRPr="00636269">
        <w:rPr>
          <w:rFonts w:cs="Arial"/>
          <w:b/>
          <w:sz w:val="36"/>
          <w:szCs w:val="36"/>
        </w:rPr>
        <w:lastRenderedPageBreak/>
        <w:t>Workshop Overview</w:t>
      </w:r>
    </w:p>
    <w:p w14:paraId="44B7FEA4" w14:textId="0BFF38A3" w:rsidR="00B5115D" w:rsidRDefault="003968E1" w:rsidP="00A82960">
      <w:pPr>
        <w:spacing w:after="120"/>
        <w:jc w:val="both"/>
        <w:rPr>
          <w:sz w:val="22"/>
          <w:szCs w:val="22"/>
        </w:rPr>
      </w:pPr>
      <w:proofErr w:type="gramStart"/>
      <w:r w:rsidRPr="005C3401">
        <w:rPr>
          <w:sz w:val="22"/>
          <w:szCs w:val="22"/>
        </w:rPr>
        <w:t>In an effort to</w:t>
      </w:r>
      <w:proofErr w:type="gramEnd"/>
      <w:r w:rsidRPr="005C3401">
        <w:rPr>
          <w:sz w:val="22"/>
          <w:szCs w:val="22"/>
        </w:rPr>
        <w:t xml:space="preserve"> streamline, reduce travel time and costs, the Department of Commerce and Economic Opportunity</w:t>
      </w:r>
      <w:r w:rsidR="00B5115D">
        <w:rPr>
          <w:sz w:val="22"/>
          <w:szCs w:val="22"/>
        </w:rPr>
        <w:t>’s Office of Community Development is combining three specific training opportunities:</w:t>
      </w:r>
    </w:p>
    <w:p w14:paraId="78D287FF" w14:textId="498794A6" w:rsidR="0062690B" w:rsidRDefault="00B5115D" w:rsidP="0062690B">
      <w:pPr>
        <w:pStyle w:val="ListParagraph"/>
        <w:numPr>
          <w:ilvl w:val="0"/>
          <w:numId w:val="13"/>
        </w:numPr>
        <w:spacing w:after="120"/>
        <w:jc w:val="both"/>
        <w:rPr>
          <w:b/>
          <w:bCs/>
        </w:rPr>
      </w:pPr>
      <w:r w:rsidRPr="00277AB1">
        <w:rPr>
          <w:b/>
          <w:bCs/>
        </w:rPr>
        <w:t>202</w:t>
      </w:r>
      <w:r w:rsidR="0013385F">
        <w:rPr>
          <w:b/>
          <w:bCs/>
        </w:rPr>
        <w:t>5</w:t>
      </w:r>
      <w:r w:rsidRPr="00277AB1">
        <w:rPr>
          <w:b/>
          <w:bCs/>
        </w:rPr>
        <w:t xml:space="preserve"> Application Workshops for Community Development Block Grant Programs (CDBG)</w:t>
      </w:r>
      <w:r w:rsidR="0062690B">
        <w:rPr>
          <w:b/>
          <w:bCs/>
        </w:rPr>
        <w:t xml:space="preserve">  </w:t>
      </w:r>
    </w:p>
    <w:p w14:paraId="2D95553A" w14:textId="54DF80CF" w:rsidR="0062690B" w:rsidRPr="00277AB1" w:rsidRDefault="00B5115D" w:rsidP="0062690B">
      <w:pPr>
        <w:pStyle w:val="ListParagraph"/>
        <w:numPr>
          <w:ilvl w:val="1"/>
          <w:numId w:val="13"/>
        </w:numPr>
        <w:spacing w:after="120"/>
        <w:jc w:val="both"/>
        <w:rPr>
          <w:b/>
          <w:bCs/>
        </w:rPr>
      </w:pPr>
      <w:r w:rsidRPr="00277AB1">
        <w:rPr>
          <w:bCs/>
        </w:rPr>
        <w:t xml:space="preserve">All those who intend to write and submit an application for competitive CDBG programs (Public Infrastructure and/or Housing Rehabilitation) in </w:t>
      </w:r>
      <w:proofErr w:type="gramStart"/>
      <w:r w:rsidR="0013385F">
        <w:rPr>
          <w:bCs/>
        </w:rPr>
        <w:t>December</w:t>
      </w:r>
      <w:r w:rsidRPr="00277AB1">
        <w:rPr>
          <w:bCs/>
        </w:rPr>
        <w:t>,</w:t>
      </w:r>
      <w:proofErr w:type="gramEnd"/>
      <w:r w:rsidRPr="00277AB1">
        <w:rPr>
          <w:bCs/>
        </w:rPr>
        <w:t xml:space="preserve"> 2024 must attend </w:t>
      </w:r>
      <w:r w:rsidRPr="00277AB1">
        <w:rPr>
          <w:b/>
        </w:rPr>
        <w:t>both</w:t>
      </w:r>
      <w:r w:rsidRPr="00277AB1">
        <w:rPr>
          <w:bCs/>
        </w:rPr>
        <w:t xml:space="preserve"> the 202</w:t>
      </w:r>
      <w:r w:rsidR="0013385F">
        <w:rPr>
          <w:bCs/>
        </w:rPr>
        <w:t>5</w:t>
      </w:r>
      <w:r w:rsidRPr="00277AB1">
        <w:rPr>
          <w:bCs/>
        </w:rPr>
        <w:t xml:space="preserve"> Application Workshop and the Grant Administrator’s Workshop</w:t>
      </w:r>
    </w:p>
    <w:p w14:paraId="4461DC30" w14:textId="77777777" w:rsidR="001A0CE9" w:rsidRPr="00277AB1" w:rsidRDefault="001A0CE9" w:rsidP="00277AB1">
      <w:pPr>
        <w:pStyle w:val="ListParagraph"/>
        <w:spacing w:after="120"/>
        <w:ind w:left="1498"/>
        <w:jc w:val="both"/>
        <w:rPr>
          <w:b/>
          <w:bCs/>
        </w:rPr>
      </w:pPr>
    </w:p>
    <w:p w14:paraId="4047B430" w14:textId="58DE76FD" w:rsidR="00B5115D" w:rsidRPr="00277AB1" w:rsidRDefault="00B5115D" w:rsidP="00B5115D">
      <w:pPr>
        <w:pStyle w:val="ListParagraph"/>
        <w:numPr>
          <w:ilvl w:val="0"/>
          <w:numId w:val="13"/>
        </w:numPr>
        <w:spacing w:after="120"/>
        <w:jc w:val="both"/>
        <w:rPr>
          <w:b/>
          <w:bCs/>
        </w:rPr>
      </w:pPr>
      <w:r w:rsidRPr="00277AB1">
        <w:rPr>
          <w:b/>
          <w:bCs/>
        </w:rPr>
        <w:t>Administrator’s Workshop for CDBG funded grants</w:t>
      </w:r>
    </w:p>
    <w:p w14:paraId="69879C6D" w14:textId="396BE20E" w:rsidR="0062690B" w:rsidRDefault="0062690B" w:rsidP="0062690B">
      <w:pPr>
        <w:pStyle w:val="ListParagraph"/>
        <w:numPr>
          <w:ilvl w:val="1"/>
          <w:numId w:val="13"/>
        </w:numPr>
        <w:spacing w:after="120"/>
        <w:jc w:val="both"/>
      </w:pPr>
      <w:r>
        <w:t xml:space="preserve">All Grant Administrators of CDBG grants </w:t>
      </w:r>
      <w:r w:rsidR="0013385F">
        <w:t xml:space="preserve">awarded in calendar year 2024 </w:t>
      </w:r>
      <w:r>
        <w:t>must attend.</w:t>
      </w:r>
    </w:p>
    <w:p w14:paraId="3B217DAA" w14:textId="7FC4184B" w:rsidR="0062690B" w:rsidRDefault="0062690B" w:rsidP="0013385F">
      <w:pPr>
        <w:pStyle w:val="ListParagraph"/>
        <w:numPr>
          <w:ilvl w:val="1"/>
          <w:numId w:val="13"/>
        </w:numPr>
        <w:spacing w:after="120"/>
        <w:jc w:val="both"/>
      </w:pPr>
      <w:r>
        <w:t xml:space="preserve">All Local Governments </w:t>
      </w:r>
      <w:r w:rsidR="0013385F">
        <w:t>awarded</w:t>
      </w:r>
      <w:r>
        <w:t xml:space="preserve"> a</w:t>
      </w:r>
      <w:r w:rsidR="008D3719">
        <w:t xml:space="preserve"> </w:t>
      </w:r>
      <w:r>
        <w:t>CDBG grant</w:t>
      </w:r>
      <w:r w:rsidR="0013385F">
        <w:t xml:space="preserve"> in 2024 </w:t>
      </w:r>
      <w:r>
        <w:t>must send a representative (preferably the person handling financial transactions).</w:t>
      </w:r>
    </w:p>
    <w:p w14:paraId="564EF6BE" w14:textId="11401F25" w:rsidR="001A0CE9" w:rsidRDefault="0062690B" w:rsidP="001A0CE9">
      <w:pPr>
        <w:pStyle w:val="ListParagraph"/>
        <w:numPr>
          <w:ilvl w:val="1"/>
          <w:numId w:val="13"/>
        </w:numPr>
        <w:spacing w:after="120"/>
        <w:jc w:val="both"/>
      </w:pPr>
      <w:r>
        <w:t xml:space="preserve">All Housing Inspectors for Housing Rehabilitation grants </w:t>
      </w:r>
      <w:r w:rsidR="001A0CE9">
        <w:t xml:space="preserve">awarded </w:t>
      </w:r>
      <w:r w:rsidR="0013385F">
        <w:t>in 2024</w:t>
      </w:r>
      <w:r w:rsidR="001A0CE9">
        <w:t xml:space="preserve"> must attend the entire first half of the Administrator’s Workshop</w:t>
      </w:r>
      <w:r w:rsidR="005C5F7F">
        <w:t xml:space="preserve"> on </w:t>
      </w:r>
      <w:proofErr w:type="gramStart"/>
      <w:r w:rsidR="005C5F7F">
        <w:t>October 1</w:t>
      </w:r>
      <w:r w:rsidR="005C5F7F" w:rsidRPr="005C5F7F">
        <w:rPr>
          <w:vertAlign w:val="superscript"/>
        </w:rPr>
        <w:t>st</w:t>
      </w:r>
      <w:r w:rsidR="005C5F7F">
        <w:t>, and</w:t>
      </w:r>
      <w:proofErr w:type="gramEnd"/>
      <w:r w:rsidR="005C5F7F">
        <w:t xml:space="preserve"> are welcome to join us for lunch</w:t>
      </w:r>
      <w:r w:rsidR="001A0CE9">
        <w:t>.</w:t>
      </w:r>
    </w:p>
    <w:p w14:paraId="2FAA2FF0" w14:textId="100D139A" w:rsidR="001A0CE9" w:rsidRPr="00277AB1" w:rsidRDefault="001A0CE9" w:rsidP="00277AB1">
      <w:pPr>
        <w:pStyle w:val="ListParagraph"/>
        <w:numPr>
          <w:ilvl w:val="1"/>
          <w:numId w:val="13"/>
        </w:numPr>
        <w:spacing w:after="240"/>
        <w:contextualSpacing w:val="0"/>
        <w:jc w:val="both"/>
        <w:rPr>
          <w:b/>
          <w:bCs/>
        </w:rPr>
      </w:pPr>
      <w:r w:rsidRPr="00035189">
        <w:rPr>
          <w:bCs/>
        </w:rPr>
        <w:t xml:space="preserve">All those who intend to write and submit an application for competitive CDBG programs (Public Infrastructure and/or Housing Rehabilitation) in </w:t>
      </w:r>
      <w:proofErr w:type="gramStart"/>
      <w:r w:rsidR="005C5F7F">
        <w:rPr>
          <w:bCs/>
        </w:rPr>
        <w:t>December</w:t>
      </w:r>
      <w:r w:rsidRPr="00035189">
        <w:rPr>
          <w:bCs/>
        </w:rPr>
        <w:t>,</w:t>
      </w:r>
      <w:proofErr w:type="gramEnd"/>
      <w:r w:rsidRPr="00035189">
        <w:rPr>
          <w:bCs/>
        </w:rPr>
        <w:t xml:space="preserve"> 2024 must attend </w:t>
      </w:r>
      <w:r w:rsidRPr="00035189">
        <w:rPr>
          <w:b/>
        </w:rPr>
        <w:t>both</w:t>
      </w:r>
      <w:r w:rsidRPr="00035189">
        <w:rPr>
          <w:bCs/>
        </w:rPr>
        <w:t xml:space="preserve"> the 2023/2024 Application Workshop and the Grant Administrator’s Workshop</w:t>
      </w:r>
    </w:p>
    <w:p w14:paraId="46B78E30" w14:textId="52C40161" w:rsidR="00B5115D" w:rsidRPr="005C5F7F" w:rsidRDefault="00B5115D" w:rsidP="00B5115D">
      <w:pPr>
        <w:pStyle w:val="ListParagraph"/>
        <w:numPr>
          <w:ilvl w:val="0"/>
          <w:numId w:val="13"/>
        </w:numPr>
        <w:spacing w:after="120"/>
        <w:jc w:val="both"/>
        <w:rPr>
          <w:b/>
          <w:bCs/>
        </w:rPr>
      </w:pPr>
      <w:r w:rsidRPr="005C5F7F">
        <w:rPr>
          <w:b/>
          <w:bCs/>
        </w:rPr>
        <w:t xml:space="preserve">Administrator’s Workshop for </w:t>
      </w:r>
      <w:r w:rsidR="005C5F7F" w:rsidRPr="005C5F7F">
        <w:rPr>
          <w:b/>
          <w:bCs/>
        </w:rPr>
        <w:t>recipients of an Urban Shelter Construction grant funded through Community Development Block Grant – Coronavirus (CDBG-CV)</w:t>
      </w:r>
    </w:p>
    <w:p w14:paraId="1F29A400" w14:textId="531CB707" w:rsidR="001A0CE9" w:rsidRPr="005C5F7F" w:rsidRDefault="001A0CE9" w:rsidP="005C5F7F">
      <w:pPr>
        <w:pStyle w:val="ListParagraph"/>
        <w:numPr>
          <w:ilvl w:val="1"/>
          <w:numId w:val="13"/>
        </w:numPr>
        <w:spacing w:after="120"/>
        <w:jc w:val="both"/>
      </w:pPr>
      <w:r w:rsidRPr="005C5F7F">
        <w:t>All</w:t>
      </w:r>
      <w:r w:rsidR="005C5F7F" w:rsidRPr="005C5F7F">
        <w:t xml:space="preserve"> staff related to fiscal and performance requirements of the grant as well as the grant administrators are required to attend this Workshop.</w:t>
      </w:r>
    </w:p>
    <w:p w14:paraId="7EA1EADF" w14:textId="77777777" w:rsidR="005C5F7F" w:rsidRPr="001A0CE9" w:rsidRDefault="005C5F7F" w:rsidP="005C5F7F">
      <w:pPr>
        <w:pStyle w:val="ListParagraph"/>
        <w:spacing w:after="120"/>
        <w:ind w:left="1498"/>
        <w:jc w:val="both"/>
      </w:pPr>
    </w:p>
    <w:p w14:paraId="135B6BF3" w14:textId="2407BAB2" w:rsidR="007E6D04" w:rsidRPr="005C5F7F" w:rsidRDefault="005034A1" w:rsidP="005C5F7F">
      <w:pPr>
        <w:pStyle w:val="ListParagraph"/>
        <w:spacing w:after="120"/>
        <w:ind w:left="0"/>
        <w:contextualSpacing w:val="0"/>
        <w:jc w:val="both"/>
      </w:pPr>
      <w:r w:rsidRPr="00277AB1">
        <w:rPr>
          <w:b/>
        </w:rPr>
        <w:t xml:space="preserve">All </w:t>
      </w:r>
      <w:r w:rsidR="005C5F7F">
        <w:rPr>
          <w:b/>
        </w:rPr>
        <w:t xml:space="preserve">educational </w:t>
      </w:r>
      <w:r w:rsidRPr="00277AB1">
        <w:rPr>
          <w:b/>
        </w:rPr>
        <w:t xml:space="preserve">sessions will be held in </w:t>
      </w:r>
      <w:r w:rsidR="005C5F7F">
        <w:rPr>
          <w:b/>
        </w:rPr>
        <w:t>Northfield Center I while breaks and lunch are in Center II.</w:t>
      </w:r>
      <w:r w:rsidRPr="00277AB1">
        <w:t xml:space="preserve">  </w:t>
      </w:r>
      <w:r w:rsidR="002F366D" w:rsidRPr="00277AB1">
        <w:t xml:space="preserve">We have planned the sessions </w:t>
      </w:r>
      <w:r w:rsidR="0061565F" w:rsidRPr="00277AB1">
        <w:t>in a way that</w:t>
      </w:r>
      <w:r w:rsidR="002F366D" w:rsidRPr="00277AB1">
        <w:t xml:space="preserve"> some attendees will not need to spend the night while others will have the opportunity to travel in the morning and just stay one night.</w:t>
      </w:r>
      <w:r w:rsidR="000061EB" w:rsidRPr="00277AB1">
        <w:t xml:space="preserve"> </w:t>
      </w:r>
      <w:r w:rsidR="002F366D" w:rsidRPr="00277AB1">
        <w:t xml:space="preserve"> As requested by our Administrators, we have structured </w:t>
      </w:r>
      <w:r w:rsidR="006A1975">
        <w:t xml:space="preserve">the </w:t>
      </w:r>
      <w:proofErr w:type="gramStart"/>
      <w:r w:rsidR="002F366D" w:rsidRPr="00277AB1">
        <w:t>sessions</w:t>
      </w:r>
      <w:proofErr w:type="gramEnd"/>
      <w:r w:rsidR="002F366D" w:rsidRPr="00277AB1">
        <w:t xml:space="preserve"> so components do not overlap.  See Agenda on the next page for details.</w:t>
      </w:r>
    </w:p>
    <w:p w14:paraId="3549151B" w14:textId="77777777" w:rsidR="002F366D" w:rsidRPr="00636269" w:rsidRDefault="002F366D" w:rsidP="002F366D">
      <w:pPr>
        <w:spacing w:after="200"/>
        <w:jc w:val="center"/>
        <w:rPr>
          <w:rFonts w:cs="Arial"/>
          <w:b/>
          <w:sz w:val="36"/>
          <w:szCs w:val="36"/>
        </w:rPr>
      </w:pPr>
      <w:r w:rsidRPr="00636269">
        <w:rPr>
          <w:rFonts w:cs="Arial"/>
          <w:b/>
          <w:sz w:val="36"/>
          <w:szCs w:val="36"/>
        </w:rPr>
        <w:t>Registration and Lodging Information</w:t>
      </w:r>
    </w:p>
    <w:p w14:paraId="6720EBDF" w14:textId="0BCC8A5F" w:rsidR="002F366D" w:rsidRPr="00277AB1" w:rsidRDefault="002F366D" w:rsidP="00277AB1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 w:rsidRPr="00277AB1">
        <w:t xml:space="preserve">There is no fee for this Workshop.  However, please plan to pay for your personal meals, </w:t>
      </w:r>
      <w:proofErr w:type="gramStart"/>
      <w:r w:rsidRPr="00277AB1">
        <w:t>travel</w:t>
      </w:r>
      <w:proofErr w:type="gramEnd"/>
      <w:r w:rsidRPr="00277AB1">
        <w:t xml:space="preserve"> and lodging. </w:t>
      </w:r>
      <w:r w:rsidR="000061EB" w:rsidRPr="00277AB1">
        <w:t xml:space="preserve"> </w:t>
      </w:r>
    </w:p>
    <w:p w14:paraId="778C383E" w14:textId="6F1749B3" w:rsidR="0004614C" w:rsidRDefault="002F366D" w:rsidP="00277AB1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 w:rsidRPr="00277AB1">
        <w:t>Please register for</w:t>
      </w:r>
      <w:r w:rsidR="006A1975" w:rsidRPr="00277AB1">
        <w:t xml:space="preserve"> all</w:t>
      </w:r>
      <w:r w:rsidRPr="00277AB1">
        <w:t xml:space="preserve"> the program segments you plan to attend. </w:t>
      </w:r>
      <w:r w:rsidR="006A1975">
        <w:t>This will allow us to plan refreshments appropriately.</w:t>
      </w:r>
    </w:p>
    <w:p w14:paraId="796DBA2F" w14:textId="55B11E2C" w:rsidR="002F366D" w:rsidRPr="00277AB1" w:rsidRDefault="0004614C" w:rsidP="00277AB1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>
        <w:t>Please include the grant numbers for the grant(s) you received or are administering on the registration form to ensure proper credit for attendance.</w:t>
      </w:r>
    </w:p>
    <w:p w14:paraId="0AED795F" w14:textId="504B227A" w:rsidR="002F366D" w:rsidRPr="00277AB1" w:rsidRDefault="002F366D" w:rsidP="00277AB1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proofErr w:type="gramStart"/>
      <w:r w:rsidRPr="00277AB1">
        <w:t>In an effort to</w:t>
      </w:r>
      <w:proofErr w:type="gramEnd"/>
      <w:r w:rsidRPr="00277AB1">
        <w:t xml:space="preserve"> reduce waste, all registration forms </w:t>
      </w:r>
      <w:r w:rsidR="00F91B08" w:rsidRPr="00277AB1">
        <w:t>must</w:t>
      </w:r>
      <w:r w:rsidRPr="00277AB1">
        <w:t xml:space="preserve"> be filled out and returned electronically to </w:t>
      </w:r>
      <w:hyperlink r:id="rId9" w:history="1">
        <w:r w:rsidRPr="00277AB1">
          <w:rPr>
            <w:rStyle w:val="Hyperlink"/>
          </w:rPr>
          <w:t>ceo.cdbg@illinois.gov</w:t>
        </w:r>
      </w:hyperlink>
      <w:r w:rsidR="00575A82" w:rsidRPr="00277AB1">
        <w:t xml:space="preserve"> by </w:t>
      </w:r>
      <w:r w:rsidR="0026089E">
        <w:rPr>
          <w:b/>
        </w:rPr>
        <w:t>Friday, September 20, 2024</w:t>
      </w:r>
      <w:r w:rsidR="00575A82" w:rsidRPr="00277AB1">
        <w:rPr>
          <w:b/>
        </w:rPr>
        <w:t>.</w:t>
      </w:r>
      <w:r w:rsidRPr="00277AB1">
        <w:t xml:space="preserve">  A confirmation e-mail will be </w:t>
      </w:r>
      <w:r w:rsidR="00575A82" w:rsidRPr="00277AB1">
        <w:t>sent upon registration.</w:t>
      </w:r>
    </w:p>
    <w:p w14:paraId="2083C37E" w14:textId="1274DEE0" w:rsidR="0061565F" w:rsidRPr="0026089E" w:rsidRDefault="0026089E" w:rsidP="0026089E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>
        <w:t>Northfield</w:t>
      </w:r>
      <w:r w:rsidR="002F366D" w:rsidRPr="00277AB1">
        <w:t xml:space="preserve"> has reserved a block of rooms for our conference attendees. </w:t>
      </w:r>
      <w:r w:rsidR="000061EB" w:rsidRPr="00277AB1">
        <w:t xml:space="preserve"> </w:t>
      </w:r>
      <w:r w:rsidR="006A1975">
        <w:t xml:space="preserve">Please </w:t>
      </w:r>
      <w:r w:rsidR="002F366D" w:rsidRPr="00277AB1">
        <w:t>call 217/</w:t>
      </w:r>
      <w:r>
        <w:t>523-7900</w:t>
      </w:r>
      <w:r w:rsidR="002F366D" w:rsidRPr="00277AB1">
        <w:t xml:space="preserve"> and ask for the</w:t>
      </w:r>
      <w:r>
        <w:t xml:space="preserve"> CDBG </w:t>
      </w:r>
      <w:r w:rsidR="002F366D" w:rsidRPr="00277AB1">
        <w:t>room block.  Room fees will be the standard state rate of $</w:t>
      </w:r>
      <w:r>
        <w:t>107</w:t>
      </w:r>
      <w:r w:rsidR="002F366D" w:rsidRPr="00277AB1">
        <w:t>/night</w:t>
      </w:r>
      <w:r>
        <w:t xml:space="preserve"> plus tax.</w:t>
      </w:r>
      <w:r w:rsidR="00B121E1">
        <w:t xml:space="preserve">  A continental breakfast is available for registered guests.</w:t>
      </w:r>
    </w:p>
    <w:p w14:paraId="79EF79CF" w14:textId="29ADEC3D" w:rsidR="005034A1" w:rsidRPr="00636269" w:rsidRDefault="00DB2BAD" w:rsidP="00434F76">
      <w:pPr>
        <w:spacing w:befor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lastRenderedPageBreak/>
        <w:t xml:space="preserve">Tentative </w:t>
      </w:r>
      <w:r w:rsidR="005034A1" w:rsidRPr="00636269">
        <w:rPr>
          <w:rFonts w:cs="Arial"/>
          <w:b/>
          <w:sz w:val="36"/>
          <w:szCs w:val="36"/>
        </w:rPr>
        <w:t>Agenda</w:t>
      </w:r>
    </w:p>
    <w:p w14:paraId="7320ED83" w14:textId="47A4D18F" w:rsidR="00E87680" w:rsidRDefault="0026089E" w:rsidP="005034A1">
      <w:pPr>
        <w:pStyle w:val="Heading1"/>
        <w:spacing w:before="240"/>
      </w:pPr>
      <w:r>
        <w:t>Tue</w:t>
      </w:r>
      <w:r w:rsidR="00A82960">
        <w:t xml:space="preserve">sday, </w:t>
      </w:r>
      <w:r w:rsidR="006A1975">
        <w:t>October 1, 202</w:t>
      </w:r>
      <w:r>
        <w:t>4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60"/>
        <w:gridCol w:w="7010"/>
      </w:tblGrid>
      <w:tr w:rsidR="003A114D" w14:paraId="7BE3B1F8" w14:textId="77777777" w:rsidTr="00277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51F3A872" w14:textId="77777777" w:rsidR="003A114D" w:rsidRPr="00277AB1" w:rsidRDefault="003A114D" w:rsidP="00277AB1">
            <w:pPr>
              <w:spacing w:before="0" w:after="200" w:line="240" w:lineRule="auto"/>
              <w:ind w:left="0"/>
              <w:jc w:val="both"/>
              <w:rPr>
                <w:sz w:val="16"/>
                <w:szCs w:val="16"/>
              </w:rPr>
            </w:pPr>
            <w:bookmarkStart w:id="0" w:name="_Hlk145966916"/>
          </w:p>
        </w:tc>
        <w:tc>
          <w:tcPr>
            <w:tcW w:w="0" w:type="dxa"/>
          </w:tcPr>
          <w:p w14:paraId="0B920558" w14:textId="77777777" w:rsidR="003A114D" w:rsidRDefault="003A114D" w:rsidP="00277AB1">
            <w:pPr>
              <w:spacing w:before="0" w:after="20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A114D" w14:paraId="4BBB5B01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92F6F5A" w14:textId="77777777" w:rsidR="003A114D" w:rsidRPr="00277AB1" w:rsidRDefault="003A114D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8:00 AM</w:t>
            </w:r>
          </w:p>
        </w:tc>
        <w:tc>
          <w:tcPr>
            <w:tcW w:w="7010" w:type="dxa"/>
          </w:tcPr>
          <w:p w14:paraId="5BCFBE10" w14:textId="77777777" w:rsidR="003A114D" w:rsidRPr="00277AB1" w:rsidRDefault="003A114D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 xml:space="preserve">Registration Opens </w:t>
            </w:r>
          </w:p>
        </w:tc>
      </w:tr>
      <w:tr w:rsidR="00FB262D" w14:paraId="045A7010" w14:textId="77777777" w:rsidTr="00035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46ED44A" w14:textId="77777777" w:rsidR="00FB262D" w:rsidRPr="00FB262D" w:rsidRDefault="00FB262D" w:rsidP="0004614C">
            <w:pPr>
              <w:spacing w:before="0" w:after="12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010" w:type="dxa"/>
          </w:tcPr>
          <w:p w14:paraId="7AD2CEF4" w14:textId="58668C7A" w:rsidR="00FB262D" w:rsidRPr="00277AB1" w:rsidRDefault="00FB262D" w:rsidP="0004614C">
            <w:pPr>
              <w:spacing w:before="0"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DB2BAD">
              <w:rPr>
                <w:sz w:val="22"/>
                <w:szCs w:val="22"/>
              </w:rPr>
              <w:t>Continental Breakfast</w:t>
            </w:r>
            <w:r w:rsidR="00DB2BAD">
              <w:rPr>
                <w:i/>
                <w:iCs/>
                <w:sz w:val="22"/>
                <w:szCs w:val="22"/>
              </w:rPr>
              <w:t xml:space="preserve"> – Center Il</w:t>
            </w:r>
          </w:p>
        </w:tc>
      </w:tr>
      <w:tr w:rsidR="003A114D" w14:paraId="07DA59CE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D9F247B" w14:textId="06648740" w:rsidR="003A114D" w:rsidRPr="00277AB1" w:rsidRDefault="003A114D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9:00 AM – 12:</w:t>
            </w:r>
            <w:r w:rsidR="00DB2BAD">
              <w:rPr>
                <w:sz w:val="22"/>
                <w:szCs w:val="22"/>
              </w:rPr>
              <w:t>1</w:t>
            </w:r>
            <w:r w:rsidRPr="00277AB1">
              <w:rPr>
                <w:sz w:val="22"/>
                <w:szCs w:val="22"/>
              </w:rPr>
              <w:t>5 PM</w:t>
            </w:r>
          </w:p>
        </w:tc>
        <w:tc>
          <w:tcPr>
            <w:tcW w:w="7010" w:type="dxa"/>
          </w:tcPr>
          <w:p w14:paraId="0D476AD6" w14:textId="713CFA25" w:rsidR="003A114D" w:rsidRPr="00DB2BAD" w:rsidRDefault="003A114D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B2BAD">
              <w:rPr>
                <w:b/>
                <w:bCs/>
                <w:sz w:val="22"/>
                <w:szCs w:val="22"/>
              </w:rPr>
              <w:t>CDBG Administrator’s Workshop</w:t>
            </w:r>
            <w:r w:rsidR="00DB2BAD" w:rsidRPr="00DB2BAD">
              <w:rPr>
                <w:b/>
                <w:bCs/>
                <w:sz w:val="22"/>
                <w:szCs w:val="22"/>
              </w:rPr>
              <w:t xml:space="preserve"> – </w:t>
            </w:r>
            <w:r w:rsidR="00DB2BAD" w:rsidRPr="00DB2BAD">
              <w:rPr>
                <w:i/>
                <w:iCs/>
                <w:sz w:val="22"/>
                <w:szCs w:val="22"/>
              </w:rPr>
              <w:t>Center I</w:t>
            </w:r>
          </w:p>
        </w:tc>
      </w:tr>
      <w:tr w:rsidR="003A114D" w14:paraId="0A2A11FC" w14:textId="77777777" w:rsidTr="00035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EB3E0F1" w14:textId="77777777" w:rsidR="003A114D" w:rsidRPr="00277AB1" w:rsidRDefault="003A114D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10" w:type="dxa"/>
          </w:tcPr>
          <w:p w14:paraId="35C964BA" w14:textId="77777777" w:rsidR="003A114D" w:rsidRPr="00277AB1" w:rsidRDefault="003A114D" w:rsidP="00277AB1">
            <w:pPr>
              <w:spacing w:before="0"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proofErr w:type="spellStart"/>
            <w:r w:rsidRPr="00277AB1">
              <w:rPr>
                <w:i/>
                <w:iCs/>
                <w:sz w:val="22"/>
                <w:szCs w:val="22"/>
              </w:rPr>
              <w:t>Environmentals</w:t>
            </w:r>
            <w:proofErr w:type="spellEnd"/>
            <w:r w:rsidRPr="00277AB1">
              <w:rPr>
                <w:i/>
                <w:iCs/>
                <w:sz w:val="22"/>
                <w:szCs w:val="22"/>
              </w:rPr>
              <w:t>, Procurement, BABA, Labor Standards, Section 3, Construction Management</w:t>
            </w:r>
          </w:p>
        </w:tc>
      </w:tr>
      <w:tr w:rsidR="003A114D" w14:paraId="2633A306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B009EEE" w14:textId="77777777" w:rsidR="003A114D" w:rsidRPr="00277AB1" w:rsidRDefault="003A114D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12:45 PM – 2:00 PM</w:t>
            </w:r>
          </w:p>
        </w:tc>
        <w:tc>
          <w:tcPr>
            <w:tcW w:w="7010" w:type="dxa"/>
          </w:tcPr>
          <w:p w14:paraId="31DDD4A6" w14:textId="15B9752D" w:rsidR="003A114D" w:rsidRPr="00DB2BAD" w:rsidRDefault="003A114D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Lunch</w:t>
            </w:r>
            <w:r w:rsidR="00FB262D">
              <w:rPr>
                <w:sz w:val="22"/>
                <w:szCs w:val="22"/>
              </w:rPr>
              <w:t xml:space="preserve"> </w:t>
            </w:r>
            <w:r w:rsidR="00DB2BAD">
              <w:rPr>
                <w:sz w:val="22"/>
                <w:szCs w:val="22"/>
              </w:rPr>
              <w:t xml:space="preserve">will be provided - </w:t>
            </w:r>
            <w:r w:rsidR="00DB2BAD">
              <w:rPr>
                <w:i/>
                <w:iCs/>
                <w:sz w:val="22"/>
                <w:szCs w:val="22"/>
              </w:rPr>
              <w:t>Center II</w:t>
            </w:r>
          </w:p>
        </w:tc>
      </w:tr>
      <w:tr w:rsidR="003A114D" w14:paraId="4C5270EC" w14:textId="77777777" w:rsidTr="00035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601D1EE" w14:textId="0EF27F40" w:rsidR="003A114D" w:rsidRPr="00277AB1" w:rsidRDefault="00DB2BAD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  <w:r w:rsidR="003A114D" w:rsidRPr="00277AB1">
              <w:rPr>
                <w:sz w:val="22"/>
                <w:szCs w:val="22"/>
              </w:rPr>
              <w:t xml:space="preserve"> PM – 4:</w:t>
            </w:r>
            <w:r>
              <w:rPr>
                <w:sz w:val="22"/>
                <w:szCs w:val="22"/>
              </w:rPr>
              <w:t>30</w:t>
            </w:r>
            <w:r w:rsidR="003A114D" w:rsidRPr="00277AB1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7010" w:type="dxa"/>
          </w:tcPr>
          <w:p w14:paraId="2EDF6C82" w14:textId="25901D0E" w:rsidR="003A114D" w:rsidRPr="00277AB1" w:rsidRDefault="003A114D" w:rsidP="00277AB1">
            <w:pPr>
              <w:spacing w:before="0"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CDBG Administrator’s Workshop</w:t>
            </w:r>
            <w:r w:rsidR="00DB2BAD">
              <w:rPr>
                <w:sz w:val="22"/>
                <w:szCs w:val="22"/>
              </w:rPr>
              <w:t xml:space="preserve"> (continued)</w:t>
            </w:r>
          </w:p>
        </w:tc>
      </w:tr>
      <w:tr w:rsidR="003A114D" w14:paraId="2B3FF1F2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1C2E255" w14:textId="77777777" w:rsidR="003A114D" w:rsidRPr="00277AB1" w:rsidRDefault="003A114D" w:rsidP="00277AB1">
            <w:pPr>
              <w:spacing w:before="0" w:after="12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10" w:type="dxa"/>
          </w:tcPr>
          <w:p w14:paraId="7C718D20" w14:textId="77777777" w:rsidR="003A114D" w:rsidRPr="00277AB1" w:rsidRDefault="003A114D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277AB1">
              <w:rPr>
                <w:i/>
                <w:iCs/>
                <w:sz w:val="22"/>
                <w:szCs w:val="22"/>
              </w:rPr>
              <w:t>Cash Draws, Modifications, Reports, Closeouts, Record Retention, Monitoring, Common Mistakes, Review and Prizes</w:t>
            </w:r>
          </w:p>
        </w:tc>
      </w:tr>
    </w:tbl>
    <w:bookmarkEnd w:id="0"/>
    <w:p w14:paraId="63CF406D" w14:textId="0ECD3EF1" w:rsidR="005034A1" w:rsidRDefault="003A114D" w:rsidP="00D72BC6">
      <w:pPr>
        <w:pStyle w:val="Heading1"/>
        <w:pBdr>
          <w:top w:val="single" w:sz="4" w:space="0" w:color="215868" w:themeColor="accent5" w:themeShade="80"/>
        </w:pBdr>
      </w:pPr>
      <w:r>
        <w:t xml:space="preserve"> </w:t>
      </w:r>
      <w:r w:rsidR="0026089E">
        <w:t>Wedne</w:t>
      </w:r>
      <w:r w:rsidR="008A266A">
        <w:t xml:space="preserve">sday, </w:t>
      </w:r>
      <w:r w:rsidR="00D346B7">
        <w:t xml:space="preserve">October </w:t>
      </w:r>
      <w:r w:rsidR="0026089E">
        <w:t>2</w:t>
      </w:r>
      <w:r w:rsidR="00D346B7">
        <w:t>, 202</w:t>
      </w:r>
      <w:r w:rsidR="0026089E">
        <w:t>4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60"/>
        <w:gridCol w:w="7010"/>
      </w:tblGrid>
      <w:tr w:rsidR="00995570" w:rsidRPr="0004614C" w14:paraId="1C2C80E9" w14:textId="77777777" w:rsidTr="00035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0" w:type="dxa"/>
          </w:tcPr>
          <w:p w14:paraId="139221AE" w14:textId="77777777" w:rsidR="00995570" w:rsidRPr="00277AB1" w:rsidRDefault="00995570" w:rsidP="00277AB1">
            <w:pPr>
              <w:spacing w:before="0" w:after="12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10" w:type="dxa"/>
          </w:tcPr>
          <w:p w14:paraId="6822DAB0" w14:textId="77777777" w:rsidR="00995570" w:rsidRPr="00277AB1" w:rsidRDefault="00995570" w:rsidP="00277AB1">
            <w:pPr>
              <w:spacing w:before="0" w:after="12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95570" w:rsidRPr="0004614C" w14:paraId="625427BD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25A1E7E" w14:textId="77777777" w:rsidR="00995570" w:rsidRPr="00277AB1" w:rsidRDefault="00995570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8:00 AM</w:t>
            </w:r>
          </w:p>
        </w:tc>
        <w:tc>
          <w:tcPr>
            <w:tcW w:w="7010" w:type="dxa"/>
          </w:tcPr>
          <w:p w14:paraId="0650BC4A" w14:textId="4383A639" w:rsidR="00995570" w:rsidRPr="00277AB1" w:rsidRDefault="00995570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 xml:space="preserve">Registration Opens </w:t>
            </w:r>
            <w:r w:rsidR="00EA4CD1">
              <w:rPr>
                <w:sz w:val="22"/>
                <w:szCs w:val="22"/>
              </w:rPr>
              <w:t>for Application Workshop</w:t>
            </w:r>
          </w:p>
        </w:tc>
      </w:tr>
      <w:tr w:rsidR="00995570" w:rsidRPr="0004614C" w14:paraId="2E463A71" w14:textId="77777777" w:rsidTr="00035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1857B17" w14:textId="3D73DB96" w:rsidR="00995570" w:rsidRPr="00277AB1" w:rsidRDefault="00995570" w:rsidP="00277AB1">
            <w:pPr>
              <w:spacing w:before="0" w:after="120" w:line="240" w:lineRule="auto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 xml:space="preserve">8:30 AM </w:t>
            </w:r>
            <w:r w:rsidR="00DB2BAD">
              <w:rPr>
                <w:sz w:val="22"/>
                <w:szCs w:val="22"/>
              </w:rPr>
              <w:t>–</w:t>
            </w:r>
            <w:r w:rsidRPr="00277AB1">
              <w:rPr>
                <w:sz w:val="22"/>
                <w:szCs w:val="22"/>
              </w:rPr>
              <w:t xml:space="preserve"> </w:t>
            </w:r>
            <w:r w:rsidR="00DB2BAD">
              <w:rPr>
                <w:sz w:val="22"/>
                <w:szCs w:val="22"/>
              </w:rPr>
              <w:t>12:30 PM</w:t>
            </w:r>
          </w:p>
        </w:tc>
        <w:tc>
          <w:tcPr>
            <w:tcW w:w="7010" w:type="dxa"/>
          </w:tcPr>
          <w:p w14:paraId="08CFFDBF" w14:textId="0AEEE70B" w:rsidR="00995570" w:rsidRPr="00277AB1" w:rsidRDefault="00DB2BAD" w:rsidP="00277AB1">
            <w:pPr>
              <w:spacing w:before="0"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2025 </w:t>
            </w:r>
            <w:r w:rsidRPr="00DB2BAD">
              <w:rPr>
                <w:b/>
                <w:bCs/>
                <w:sz w:val="22"/>
                <w:szCs w:val="22"/>
              </w:rPr>
              <w:t>CDBG A</w:t>
            </w:r>
            <w:r>
              <w:rPr>
                <w:b/>
                <w:bCs/>
                <w:sz w:val="22"/>
                <w:szCs w:val="22"/>
              </w:rPr>
              <w:t>pplication</w:t>
            </w:r>
            <w:r w:rsidRPr="00DB2BAD">
              <w:rPr>
                <w:b/>
                <w:bCs/>
                <w:sz w:val="22"/>
                <w:szCs w:val="22"/>
              </w:rPr>
              <w:t xml:space="preserve"> Workshop – </w:t>
            </w:r>
            <w:r w:rsidRPr="00DB2BAD">
              <w:rPr>
                <w:i/>
                <w:iCs/>
                <w:sz w:val="22"/>
                <w:szCs w:val="22"/>
              </w:rPr>
              <w:t>Center I</w:t>
            </w:r>
          </w:p>
        </w:tc>
      </w:tr>
      <w:tr w:rsidR="00EA4CD1" w:rsidRPr="0004614C" w14:paraId="6D02AB90" w14:textId="77777777" w:rsidTr="0003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EF64360" w14:textId="1426265C" w:rsidR="00EA4CD1" w:rsidRPr="00277AB1" w:rsidRDefault="00EA4CD1" w:rsidP="00277AB1">
            <w:pPr>
              <w:spacing w:before="0" w:after="12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PM</w:t>
            </w:r>
          </w:p>
        </w:tc>
        <w:tc>
          <w:tcPr>
            <w:tcW w:w="7010" w:type="dxa"/>
          </w:tcPr>
          <w:p w14:paraId="7883A29F" w14:textId="13FEF383" w:rsidR="00EA4CD1" w:rsidRPr="00EA4CD1" w:rsidRDefault="00EA4CD1" w:rsidP="00277AB1">
            <w:pPr>
              <w:spacing w:before="0" w:after="12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A4CD1">
              <w:rPr>
                <w:sz w:val="22"/>
                <w:szCs w:val="22"/>
              </w:rPr>
              <w:t>Registration Opens for Urban Shelter Workshop</w:t>
            </w:r>
          </w:p>
        </w:tc>
      </w:tr>
      <w:tr w:rsidR="00995570" w:rsidRPr="0004614C" w14:paraId="60E82375" w14:textId="77777777" w:rsidTr="00035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0349FC2" w14:textId="51938D9F" w:rsidR="00995570" w:rsidRPr="00277AB1" w:rsidRDefault="00995570" w:rsidP="00277AB1">
            <w:pPr>
              <w:spacing w:before="0" w:after="120" w:line="240" w:lineRule="auto"/>
              <w:ind w:left="0"/>
              <w:jc w:val="center"/>
              <w:rPr>
                <w:sz w:val="22"/>
                <w:szCs w:val="22"/>
              </w:rPr>
            </w:pPr>
            <w:r w:rsidRPr="00277AB1">
              <w:rPr>
                <w:sz w:val="22"/>
                <w:szCs w:val="22"/>
              </w:rPr>
              <w:t>1:30 PM – 5:00 PM</w:t>
            </w:r>
          </w:p>
        </w:tc>
        <w:tc>
          <w:tcPr>
            <w:tcW w:w="7010" w:type="dxa"/>
          </w:tcPr>
          <w:p w14:paraId="4DE18CEC" w14:textId="12696CE3" w:rsidR="00995570" w:rsidRPr="00277AB1" w:rsidRDefault="00DB2BAD" w:rsidP="00277AB1">
            <w:pPr>
              <w:spacing w:before="0" w:after="12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2BAD">
              <w:rPr>
                <w:b/>
                <w:bCs/>
                <w:sz w:val="22"/>
                <w:szCs w:val="22"/>
              </w:rPr>
              <w:t>CDBG</w:t>
            </w:r>
            <w:r w:rsidR="00EA4CD1">
              <w:rPr>
                <w:b/>
                <w:bCs/>
                <w:sz w:val="22"/>
                <w:szCs w:val="22"/>
              </w:rPr>
              <w:t>-CV Urban Shelter</w:t>
            </w:r>
            <w:r w:rsidRPr="00DB2BAD">
              <w:rPr>
                <w:b/>
                <w:bCs/>
                <w:sz w:val="22"/>
                <w:szCs w:val="22"/>
              </w:rPr>
              <w:t xml:space="preserve"> Administrator’s Workshop – </w:t>
            </w:r>
            <w:r w:rsidRPr="00DB2BAD">
              <w:rPr>
                <w:i/>
                <w:iCs/>
                <w:sz w:val="22"/>
                <w:szCs w:val="22"/>
              </w:rPr>
              <w:t>Center I</w:t>
            </w:r>
          </w:p>
        </w:tc>
      </w:tr>
    </w:tbl>
    <w:p w14:paraId="2574EF5A" w14:textId="77777777" w:rsidR="00434F76" w:rsidRDefault="00434F76" w:rsidP="002E5DCE">
      <w:pPr>
        <w:ind w:left="0"/>
        <w:sectPr w:rsidR="00434F76" w:rsidSect="00434F76">
          <w:headerReference w:type="default" r:id="rId10"/>
          <w:pgSz w:w="12240" w:h="15840"/>
          <w:pgMar w:top="1080" w:right="1080" w:bottom="1008" w:left="1080" w:header="720" w:footer="720" w:gutter="0"/>
          <w:cols w:space="720"/>
          <w:docGrid w:linePitch="360"/>
        </w:sectPr>
      </w:pPr>
    </w:p>
    <w:p w14:paraId="67D39FCE" w14:textId="77ADC89D" w:rsidR="0061565F" w:rsidRPr="00277AB1" w:rsidRDefault="00F56C50" w:rsidP="00277AB1">
      <w:pPr>
        <w:ind w:left="0"/>
        <w:rPr>
          <w:sz w:val="22"/>
          <w:szCs w:val="22"/>
        </w:rPr>
      </w:pPr>
      <w:r w:rsidRPr="00277AB1">
        <w:rPr>
          <w:b/>
          <w:sz w:val="22"/>
          <w:szCs w:val="22"/>
        </w:rPr>
        <w:t xml:space="preserve">Workshop Materials </w:t>
      </w:r>
      <w:r w:rsidRPr="00277AB1">
        <w:rPr>
          <w:sz w:val="22"/>
          <w:szCs w:val="22"/>
        </w:rPr>
        <w:t>will be</w:t>
      </w:r>
      <w:r w:rsidR="0004614C" w:rsidRPr="0004614C">
        <w:rPr>
          <w:sz w:val="22"/>
          <w:szCs w:val="22"/>
        </w:rPr>
        <w:t xml:space="preserve"> e-mailed the week of </w:t>
      </w:r>
      <w:r w:rsidR="00EA4CD1">
        <w:rPr>
          <w:sz w:val="22"/>
          <w:szCs w:val="22"/>
        </w:rPr>
        <w:t>September 23rd</w:t>
      </w:r>
      <w:r w:rsidR="0004614C" w:rsidRPr="0004614C">
        <w:rPr>
          <w:sz w:val="22"/>
          <w:szCs w:val="22"/>
        </w:rPr>
        <w:t xml:space="preserve"> to all those registered. </w:t>
      </w:r>
    </w:p>
    <w:p w14:paraId="44F496FA" w14:textId="5F22F3D3" w:rsidR="00DE0E37" w:rsidRPr="00277AB1" w:rsidRDefault="00F56C50" w:rsidP="00277AB1">
      <w:pPr>
        <w:ind w:left="0"/>
        <w:rPr>
          <w:b/>
          <w:sz w:val="22"/>
          <w:szCs w:val="22"/>
        </w:rPr>
      </w:pPr>
      <w:r w:rsidRPr="00277AB1">
        <w:rPr>
          <w:b/>
          <w:sz w:val="22"/>
          <w:szCs w:val="22"/>
        </w:rPr>
        <w:t>PLEASE MAKE AND BRING COPIES WITH YOU.</w:t>
      </w:r>
      <w:r w:rsidRPr="00277AB1">
        <w:rPr>
          <w:sz w:val="22"/>
          <w:szCs w:val="22"/>
        </w:rPr>
        <w:t xml:space="preserve"> </w:t>
      </w:r>
      <w:r w:rsidR="00434F76" w:rsidRPr="00277AB1">
        <w:rPr>
          <w:sz w:val="22"/>
          <w:szCs w:val="22"/>
        </w:rPr>
        <w:t xml:space="preserve">Copies </w:t>
      </w:r>
      <w:r w:rsidR="00434F76" w:rsidRPr="00277AB1">
        <w:rPr>
          <w:sz w:val="22"/>
          <w:szCs w:val="22"/>
          <w:u w:val="single"/>
        </w:rPr>
        <w:t>will not</w:t>
      </w:r>
      <w:r w:rsidR="00434F76" w:rsidRPr="00277AB1">
        <w:rPr>
          <w:sz w:val="22"/>
          <w:szCs w:val="22"/>
        </w:rPr>
        <w:t xml:space="preserve"> be available at the Workshop.</w:t>
      </w:r>
    </w:p>
    <w:p w14:paraId="5EFACEDB" w14:textId="77777777" w:rsidR="00EA4CD1" w:rsidRDefault="00EA4CD1" w:rsidP="00277AB1">
      <w:pPr>
        <w:ind w:left="0"/>
        <w:rPr>
          <w:b/>
          <w:color w:val="FF0000"/>
          <w:sz w:val="22"/>
          <w:szCs w:val="22"/>
        </w:rPr>
      </w:pPr>
    </w:p>
    <w:p w14:paraId="2F77B4DF" w14:textId="77B87CDF" w:rsidR="00EA4CD1" w:rsidRDefault="00EA4CD1" w:rsidP="00277AB1">
      <w:pPr>
        <w:ind w:left="0"/>
        <w:rPr>
          <w:bCs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FOR QUESTIONS – </w:t>
      </w:r>
      <w:r>
        <w:rPr>
          <w:bCs/>
          <w:sz w:val="22"/>
          <w:szCs w:val="22"/>
        </w:rPr>
        <w:t xml:space="preserve">please email </w:t>
      </w:r>
      <w:hyperlink r:id="rId11" w:history="1">
        <w:r w:rsidRPr="00FA2700">
          <w:rPr>
            <w:rStyle w:val="Hyperlink"/>
            <w:bCs/>
            <w:sz w:val="22"/>
            <w:szCs w:val="22"/>
          </w:rPr>
          <w:t>ceo.ocd@illinois.gov</w:t>
        </w:r>
      </w:hyperlink>
      <w:r>
        <w:rPr>
          <w:bCs/>
          <w:sz w:val="22"/>
          <w:szCs w:val="22"/>
        </w:rPr>
        <w:t xml:space="preserve"> or call 217/558-4222.</w:t>
      </w:r>
    </w:p>
    <w:p w14:paraId="6B547D4E" w14:textId="77777777" w:rsidR="008E0A1F" w:rsidRPr="00EA4CD1" w:rsidRDefault="008E0A1F" w:rsidP="008E0A1F">
      <w:pPr>
        <w:ind w:left="0"/>
        <w:rPr>
          <w:bCs/>
          <w:sz w:val="22"/>
          <w:szCs w:val="22"/>
        </w:rPr>
      </w:pPr>
    </w:p>
    <w:p w14:paraId="492B4DEB" w14:textId="4CDE9F50" w:rsidR="00EA4CD1" w:rsidRDefault="00443B8B" w:rsidP="008E0A1F">
      <w:pPr>
        <w:ind w:left="0"/>
        <w:jc w:val="center"/>
        <w:rPr>
          <w:b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13929C87" wp14:editId="7A8BA00F">
            <wp:extent cx="5236210" cy="2427605"/>
            <wp:effectExtent l="0" t="0" r="2540" b="0"/>
            <wp:docPr id="1" name="Picture 1" descr="Grants Management – Welcome to the City of Fort W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ts Management – Welcome to the City of Fort Wor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CD1" w:rsidSect="00434F76">
      <w:type w:val="continuous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5983" w14:textId="77777777" w:rsidR="005A491C" w:rsidRDefault="005A491C" w:rsidP="005A491C">
      <w:pPr>
        <w:spacing w:before="0" w:after="0" w:line="240" w:lineRule="auto"/>
      </w:pPr>
      <w:r>
        <w:separator/>
      </w:r>
    </w:p>
  </w:endnote>
  <w:endnote w:type="continuationSeparator" w:id="0">
    <w:p w14:paraId="3F582026" w14:textId="77777777" w:rsidR="005A491C" w:rsidRDefault="005A491C" w:rsidP="005A49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83AF" w14:textId="77777777" w:rsidR="005A491C" w:rsidRDefault="005A491C" w:rsidP="005A491C">
      <w:pPr>
        <w:spacing w:before="0" w:after="0" w:line="240" w:lineRule="auto"/>
      </w:pPr>
      <w:r>
        <w:separator/>
      </w:r>
    </w:p>
  </w:footnote>
  <w:footnote w:type="continuationSeparator" w:id="0">
    <w:p w14:paraId="6C6F1E03" w14:textId="77777777" w:rsidR="005A491C" w:rsidRDefault="005A491C" w:rsidP="005A49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828" w14:textId="77777777" w:rsidR="005A3F58" w:rsidRPr="000C3B93" w:rsidRDefault="005A3F58" w:rsidP="000C3B93">
    <w:pPr>
      <w:pStyle w:val="Header"/>
      <w:jc w:val="center"/>
      <w:rPr>
        <w:b/>
        <w:color w:val="31849B" w:themeColor="accent5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B132D"/>
    <w:multiLevelType w:val="hybridMultilevel"/>
    <w:tmpl w:val="80907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5D8B"/>
    <w:multiLevelType w:val="hybridMultilevel"/>
    <w:tmpl w:val="AB9CE9D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88B7A56"/>
    <w:multiLevelType w:val="hybridMultilevel"/>
    <w:tmpl w:val="24D4447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404839558">
    <w:abstractNumId w:val="9"/>
  </w:num>
  <w:num w:numId="2" w16cid:durableId="114522162">
    <w:abstractNumId w:val="7"/>
  </w:num>
  <w:num w:numId="3" w16cid:durableId="241334148">
    <w:abstractNumId w:val="6"/>
  </w:num>
  <w:num w:numId="4" w16cid:durableId="1925457179">
    <w:abstractNumId w:val="5"/>
  </w:num>
  <w:num w:numId="5" w16cid:durableId="2015375348">
    <w:abstractNumId w:val="4"/>
  </w:num>
  <w:num w:numId="6" w16cid:durableId="1081607339">
    <w:abstractNumId w:val="8"/>
  </w:num>
  <w:num w:numId="7" w16cid:durableId="2140486880">
    <w:abstractNumId w:val="3"/>
  </w:num>
  <w:num w:numId="8" w16cid:durableId="182327229">
    <w:abstractNumId w:val="2"/>
  </w:num>
  <w:num w:numId="9" w16cid:durableId="1191333923">
    <w:abstractNumId w:val="1"/>
  </w:num>
  <w:num w:numId="10" w16cid:durableId="475728258">
    <w:abstractNumId w:val="0"/>
  </w:num>
  <w:num w:numId="11" w16cid:durableId="1849444728">
    <w:abstractNumId w:val="10"/>
  </w:num>
  <w:num w:numId="12" w16cid:durableId="1676223760">
    <w:abstractNumId w:val="11"/>
  </w:num>
  <w:num w:numId="13" w16cid:durableId="2061705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C1"/>
    <w:rsid w:val="00000457"/>
    <w:rsid w:val="000061EB"/>
    <w:rsid w:val="00012D8F"/>
    <w:rsid w:val="00013B61"/>
    <w:rsid w:val="0004614C"/>
    <w:rsid w:val="00046AB0"/>
    <w:rsid w:val="000600A1"/>
    <w:rsid w:val="00093B54"/>
    <w:rsid w:val="000C3B93"/>
    <w:rsid w:val="000C3EC1"/>
    <w:rsid w:val="000C49A1"/>
    <w:rsid w:val="000F31DD"/>
    <w:rsid w:val="001064C1"/>
    <w:rsid w:val="0013385F"/>
    <w:rsid w:val="00137DDD"/>
    <w:rsid w:val="00193A0C"/>
    <w:rsid w:val="001A0CE9"/>
    <w:rsid w:val="001C26E6"/>
    <w:rsid w:val="00235D40"/>
    <w:rsid w:val="00242E5D"/>
    <w:rsid w:val="0026089E"/>
    <w:rsid w:val="002633CE"/>
    <w:rsid w:val="00277AB1"/>
    <w:rsid w:val="00280053"/>
    <w:rsid w:val="00293816"/>
    <w:rsid w:val="002A33D5"/>
    <w:rsid w:val="002C0ADB"/>
    <w:rsid w:val="002D477D"/>
    <w:rsid w:val="002E5DCE"/>
    <w:rsid w:val="002E5E84"/>
    <w:rsid w:val="002F366D"/>
    <w:rsid w:val="002F511D"/>
    <w:rsid w:val="00305E8D"/>
    <w:rsid w:val="00316C98"/>
    <w:rsid w:val="00322038"/>
    <w:rsid w:val="00334147"/>
    <w:rsid w:val="00336B6F"/>
    <w:rsid w:val="00365C36"/>
    <w:rsid w:val="00370770"/>
    <w:rsid w:val="00396651"/>
    <w:rsid w:val="003968E1"/>
    <w:rsid w:val="003A114D"/>
    <w:rsid w:val="003B10C0"/>
    <w:rsid w:val="003D69BA"/>
    <w:rsid w:val="00402F69"/>
    <w:rsid w:val="0041104F"/>
    <w:rsid w:val="00411596"/>
    <w:rsid w:val="0041378C"/>
    <w:rsid w:val="004314C6"/>
    <w:rsid w:val="00434F76"/>
    <w:rsid w:val="00443B8B"/>
    <w:rsid w:val="00452E55"/>
    <w:rsid w:val="00470156"/>
    <w:rsid w:val="004C4786"/>
    <w:rsid w:val="004E77BD"/>
    <w:rsid w:val="005034A1"/>
    <w:rsid w:val="00575A82"/>
    <w:rsid w:val="00595F76"/>
    <w:rsid w:val="005A3F58"/>
    <w:rsid w:val="005A491C"/>
    <w:rsid w:val="005B3147"/>
    <w:rsid w:val="005C3401"/>
    <w:rsid w:val="005C5F7F"/>
    <w:rsid w:val="005C7890"/>
    <w:rsid w:val="005D6D58"/>
    <w:rsid w:val="0061565F"/>
    <w:rsid w:val="0062690B"/>
    <w:rsid w:val="00636269"/>
    <w:rsid w:val="00650367"/>
    <w:rsid w:val="00666066"/>
    <w:rsid w:val="00666460"/>
    <w:rsid w:val="00672D84"/>
    <w:rsid w:val="006A1975"/>
    <w:rsid w:val="006A2EEE"/>
    <w:rsid w:val="006E7E18"/>
    <w:rsid w:val="007143D2"/>
    <w:rsid w:val="007739C1"/>
    <w:rsid w:val="007814F8"/>
    <w:rsid w:val="007817F5"/>
    <w:rsid w:val="007C124B"/>
    <w:rsid w:val="007E6798"/>
    <w:rsid w:val="007E6D04"/>
    <w:rsid w:val="00882812"/>
    <w:rsid w:val="008A266A"/>
    <w:rsid w:val="008A3A65"/>
    <w:rsid w:val="008B4098"/>
    <w:rsid w:val="008B7154"/>
    <w:rsid w:val="008D3719"/>
    <w:rsid w:val="008E0A1F"/>
    <w:rsid w:val="009209FE"/>
    <w:rsid w:val="00921CBA"/>
    <w:rsid w:val="00995570"/>
    <w:rsid w:val="009C5D45"/>
    <w:rsid w:val="009D4201"/>
    <w:rsid w:val="009E3BC6"/>
    <w:rsid w:val="00A12502"/>
    <w:rsid w:val="00A14DAF"/>
    <w:rsid w:val="00A4398E"/>
    <w:rsid w:val="00A67B22"/>
    <w:rsid w:val="00A82960"/>
    <w:rsid w:val="00AC2008"/>
    <w:rsid w:val="00B121E1"/>
    <w:rsid w:val="00B449B6"/>
    <w:rsid w:val="00B5115D"/>
    <w:rsid w:val="00B63707"/>
    <w:rsid w:val="00B72366"/>
    <w:rsid w:val="00B936B6"/>
    <w:rsid w:val="00BC2BAE"/>
    <w:rsid w:val="00C14AD1"/>
    <w:rsid w:val="00C3287E"/>
    <w:rsid w:val="00C35000"/>
    <w:rsid w:val="00CC1F8C"/>
    <w:rsid w:val="00CE07FD"/>
    <w:rsid w:val="00D02D62"/>
    <w:rsid w:val="00D0467D"/>
    <w:rsid w:val="00D346B7"/>
    <w:rsid w:val="00D70BC2"/>
    <w:rsid w:val="00D72BC6"/>
    <w:rsid w:val="00DA72B0"/>
    <w:rsid w:val="00DB2BAD"/>
    <w:rsid w:val="00DE0E37"/>
    <w:rsid w:val="00DE2521"/>
    <w:rsid w:val="00E32328"/>
    <w:rsid w:val="00E87680"/>
    <w:rsid w:val="00EA4CD1"/>
    <w:rsid w:val="00EF116C"/>
    <w:rsid w:val="00EF580F"/>
    <w:rsid w:val="00F47167"/>
    <w:rsid w:val="00F56C50"/>
    <w:rsid w:val="00F76157"/>
    <w:rsid w:val="00F91B08"/>
    <w:rsid w:val="00FB262D"/>
    <w:rsid w:val="00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46C7FFC"/>
  <w15:docId w15:val="{E525F802-D3D3-4772-B450-0174C64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1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A491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C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434F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F76"/>
    <w:pPr>
      <w:spacing w:before="0" w:after="200"/>
      <w:ind w:left="720"/>
      <w:contextualSpacing/>
    </w:pPr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00457"/>
    <w:rPr>
      <w:rFonts w:asciiTheme="minorHAnsi" w:hAnsiTheme="minorHAnsi"/>
    </w:rPr>
  </w:style>
  <w:style w:type="table" w:styleId="TableGridLight">
    <w:name w:val="Grid Table Light"/>
    <w:basedOn w:val="TableNormal"/>
    <w:uiPriority w:val="40"/>
    <w:rsid w:val="003A1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A114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A4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o.ocd@illinois.go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.cdbg@illinoi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599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>State of Illinois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Laurel Yan</dc:creator>
  <cp:lastModifiedBy>Bell, Wendy</cp:lastModifiedBy>
  <cp:revision>6</cp:revision>
  <cp:lastPrinted>2019-02-08T19:46:00Z</cp:lastPrinted>
  <dcterms:created xsi:type="dcterms:W3CDTF">2024-08-15T15:32:00Z</dcterms:created>
  <dcterms:modified xsi:type="dcterms:W3CDTF">2024-08-15T20:50:00Z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